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этого брака у нас имеются несовершеннолетние дети: 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истцом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ответчице заказным письмом с описью вложения;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A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Примерная форма (бланк) иска о разводе с женой (один ребёнок, без раздела имущества),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«Развод без стресса»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подробности по телефону: +7 (495) 722-99-33.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женой (имеются общие несовершеннолетние дети),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