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этого брака у нас имеются несовершеннолетние дети: 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истцом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ответчице заказным письмом с описью вложения;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A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color w:val="999999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Примерная форма (бланк) иска о разводе с женой (один ребёнок, без раздела имущества),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«Развод без стресса»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подробности по телефону: +7 (495) 722-99-33.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женой (имеются общие несовершеннолетние дети),</w:t>
      <w:br w:type="textWrapping"/>
      <w:t xml:space="preserve">по ГОСТ Р 7.0.97  на основе практики юридической компании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